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D1D" w:rsidRDefault="00E52624">
      <w:pPr>
        <w:tabs>
          <w:tab w:val="center" w:pos="8407"/>
        </w:tabs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sz w:val="24"/>
        </w:rPr>
        <w:t xml:space="preserve">Krajský úřad Pardubického kraje </w:t>
      </w:r>
      <w:r>
        <w:rPr>
          <w:rFonts w:ascii="Arial" w:eastAsia="Arial" w:hAnsi="Arial" w:cs="Arial"/>
          <w:sz w:val="24"/>
        </w:rPr>
        <w:tab/>
        <w:t xml:space="preserve"> </w:t>
      </w:r>
    </w:p>
    <w:p w:rsidR="00DB3D1D" w:rsidRDefault="00E52624">
      <w:pPr>
        <w:spacing w:after="701" w:line="259" w:lineRule="auto"/>
        <w:ind w:left="-29" w:right="-26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6158230" cy="6096"/>
                <wp:effectExtent l="0" t="0" r="0" b="0"/>
                <wp:docPr id="2043" name="Group 20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6096"/>
                          <a:chOff x="0" y="0"/>
                          <a:chExt cx="6158230" cy="6096"/>
                        </a:xfrm>
                      </wpg:grpSpPr>
                      <wps:wsp>
                        <wps:cNvPr id="2381" name="Shape 2381"/>
                        <wps:cNvSpPr/>
                        <wps:spPr>
                          <a:xfrm>
                            <a:off x="0" y="0"/>
                            <a:ext cx="61582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9144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43" style="width:484.9pt;height:0.47998pt;mso-position-horizontal-relative:char;mso-position-vertical-relative:line" coordsize="61582,60">
                <v:shape id="Shape 2382" style="position:absolute;width:61582;height:91;left:0;top:0;" coordsize="6158230,9144" path="m0,0l6158230,0l615823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B3D1D" w:rsidRDefault="00E52624">
      <w:pPr>
        <w:spacing w:after="46" w:line="259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DB3D1D" w:rsidRDefault="00E52624">
      <w:pPr>
        <w:pStyle w:val="Nadpis1"/>
      </w:pPr>
      <w:r>
        <w:t xml:space="preserve">Příloha č. </w:t>
      </w:r>
      <w:r w:rsidR="00DA1EA5">
        <w:t>2</w:t>
      </w:r>
      <w:r>
        <w:t xml:space="preserve"> ke Smlouvě č. </w:t>
      </w:r>
      <w:r>
        <w:rPr>
          <w:color w:val="FF0000"/>
        </w:rPr>
        <w:t>XXXX</w:t>
      </w:r>
      <w:r>
        <w:t xml:space="preserve"> </w:t>
      </w:r>
    </w:p>
    <w:p w:rsidR="00DB3D1D" w:rsidRDefault="00E52624">
      <w:pPr>
        <w:spacing w:after="172" w:line="259" w:lineRule="auto"/>
        <w:ind w:left="772" w:right="0" w:firstLine="0"/>
        <w:jc w:val="center"/>
      </w:pPr>
      <w:r>
        <w:rPr>
          <w:sz w:val="20"/>
        </w:rPr>
        <w:t xml:space="preserve"> </w:t>
      </w:r>
    </w:p>
    <w:p w:rsidR="00DB3D1D" w:rsidRDefault="00E52624">
      <w:pPr>
        <w:spacing w:after="0" w:line="243" w:lineRule="auto"/>
        <w:ind w:left="346" w:right="0" w:hanging="118"/>
        <w:jc w:val="left"/>
      </w:pPr>
      <w:r>
        <w:rPr>
          <w:b/>
          <w:sz w:val="40"/>
        </w:rPr>
        <w:t xml:space="preserve">Povinnosti dodavatele vyplývající z finanční spoluúčasti Státního fondu životního prostředí České republiky na realizaci projektu </w:t>
      </w:r>
    </w:p>
    <w:p w:rsidR="00DB3D1D" w:rsidRDefault="00E52624">
      <w:pPr>
        <w:spacing w:after="5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DB3D1D" w:rsidRDefault="00E52624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>Název projektu:</w:t>
      </w:r>
      <w:r>
        <w:rPr>
          <w:sz w:val="24"/>
        </w:rPr>
        <w:t xml:space="preserve">  </w:t>
      </w:r>
    </w:p>
    <w:p w:rsidR="00DB3D1D" w:rsidRDefault="00E52624">
      <w:pPr>
        <w:spacing w:after="0" w:line="259" w:lineRule="auto"/>
        <w:ind w:left="-5" w:right="0" w:hanging="10"/>
        <w:jc w:val="left"/>
      </w:pPr>
      <w:proofErr w:type="gramStart"/>
      <w:r>
        <w:rPr>
          <w:b/>
          <w:sz w:val="24"/>
        </w:rPr>
        <w:t>,,Výstavba</w:t>
      </w:r>
      <w:proofErr w:type="gramEnd"/>
      <w:r>
        <w:rPr>
          <w:b/>
          <w:sz w:val="24"/>
        </w:rPr>
        <w:t xml:space="preserve"> FTV elektráren v areálech školských zařízení Pardubického kraje I“ </w:t>
      </w:r>
    </w:p>
    <w:p w:rsidR="00DB3D1D" w:rsidRDefault="00E52624">
      <w:pPr>
        <w:spacing w:after="0" w:line="259" w:lineRule="auto"/>
        <w:ind w:left="-5" w:right="0" w:hanging="10"/>
        <w:jc w:val="left"/>
      </w:pPr>
      <w:r>
        <w:rPr>
          <w:b/>
          <w:sz w:val="24"/>
        </w:rPr>
        <w:t>Název operačního programu: „Modernizační fond RES+“</w:t>
      </w:r>
      <w:r>
        <w:rPr>
          <w:b/>
          <w:color w:val="FF0000"/>
          <w:sz w:val="24"/>
        </w:rPr>
        <w:t xml:space="preserve"> </w:t>
      </w:r>
    </w:p>
    <w:p w:rsidR="00DB3D1D" w:rsidRDefault="00E52624">
      <w:pPr>
        <w:spacing w:after="0" w:line="259" w:lineRule="auto"/>
        <w:ind w:left="-5" w:right="0" w:hanging="10"/>
        <w:jc w:val="left"/>
      </w:pPr>
      <w:r>
        <w:rPr>
          <w:b/>
          <w:sz w:val="24"/>
        </w:rPr>
        <w:t>Číslo výzvy: „</w:t>
      </w:r>
      <w:proofErr w:type="spellStart"/>
      <w:r>
        <w:rPr>
          <w:b/>
          <w:sz w:val="24"/>
        </w:rPr>
        <w:t>ModF</w:t>
      </w:r>
      <w:proofErr w:type="spellEnd"/>
      <w:r>
        <w:rPr>
          <w:b/>
          <w:sz w:val="24"/>
        </w:rPr>
        <w:t xml:space="preserve"> – RES+ č. 1/2021 - ModF-RES-FV_1“ </w:t>
      </w:r>
    </w:p>
    <w:p w:rsidR="00DB3D1D" w:rsidRDefault="00E52624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Na každé faktuře bude jednoznačně uvedeno, že se jedná o projekt související s </w:t>
      </w:r>
      <w:r>
        <w:rPr>
          <w:b/>
        </w:rPr>
        <w:t>Modernizačním fondem</w:t>
      </w:r>
      <w:r>
        <w:t xml:space="preserve"> s názvem: „</w:t>
      </w:r>
      <w:r>
        <w:rPr>
          <w:b/>
        </w:rPr>
        <w:t>Výstavba FTV elektráren v areálech školských zařízení Pardubického kraje I</w:t>
      </w:r>
      <w:r>
        <w:t xml:space="preserve">“, registrační číslo projektu </w:t>
      </w:r>
      <w:r>
        <w:rPr>
          <w:b/>
        </w:rPr>
        <w:t>7211100126</w:t>
      </w:r>
      <w:r>
        <w:t xml:space="preserve">. Faktury musí obsahovat účel fakturovaných částek. 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si je vědom, že ve smyslu § 2, písm. e), zákona č. 320/2001 Sb., o finanční kontrole ve veřejné správě a o změně některých zákonů, ve znění pozdějších předpisů, je povinen poskytnout součinnost při výkonu finanční kontroly a to v případě, že k tomu bude objednatelem vyzván.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se ve spolupráci s objednatelem zavazuje poskytnout kontrolním orgánům jakékoliv dokumenty vztahující se k realizaci projektu, podat informace a umožnit vstup do svého sídla a jakýchkoliv dalších prostor a na pozemky související s projektem nebo jeho realizací. Dodavatel se zavazuje poskytnout na výzvu své daňové účetnictví nebo daňovou evidenci k nahlédnutí v rozsahu, který souvisí s projektem. Dodavatel se dále zavazuje provést v požadovaném termínu, rozsahu a kvalitě opatření vedoucí k odstranění kontrolních zjištění a informovat o nich příslušný kontrolní orgán, objednatele a poskytovatele dotace. 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Kontrolními orgány se rozumí osoby pověřené ke kontrole Evropskou komisí, Evropským účetním dvorem, Nejvyšším kontrolním úřadem, Ministerstvem financí ČR, Ministerstvem životního prostředí ČR a dalšími ministerstvy, Řídícím orgánem OPŽP, jakož i dalšími orgány oprávněnými k výkonu kontroly (např. státní stavební dohled).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bere na vědomí, že poskytovatel dotace je oprávněn provést u projektu nezávislý vnější audit. Dodavatel je povinen při výkonu auditu spolupůsobit.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je povinen spolupracovat s objednatelem při zpracování monitorovacích zpráv (průběžných, etapových nebo závěrečných), žádostí o platbu, oznámení žadatele o změně projektu, závěrečného vyhodnocení akce. </w:t>
      </w:r>
    </w:p>
    <w:p w:rsidR="00DB3D1D" w:rsidRDefault="00E52624">
      <w:pPr>
        <w:numPr>
          <w:ilvl w:val="0"/>
          <w:numId w:val="1"/>
        </w:numPr>
        <w:spacing w:after="99" w:line="259" w:lineRule="auto"/>
        <w:ind w:right="-10" w:hanging="360"/>
      </w:pPr>
      <w:r>
        <w:t xml:space="preserve">Dodavatel se zavazuje archivovat dokumenty související s dílem až do roku 2035.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se zavazuje písemně poskytnout na žádost objednatele jakékoliv doplňující informace související s realizací projektu a to ve lhůtě stanovené objednatelem. </w:t>
      </w:r>
    </w:p>
    <w:p w:rsidR="00DB3D1D" w:rsidRDefault="00E52624">
      <w:pPr>
        <w:numPr>
          <w:ilvl w:val="0"/>
          <w:numId w:val="1"/>
        </w:numPr>
        <w:spacing w:after="110" w:line="248" w:lineRule="auto"/>
        <w:ind w:right="-10" w:hanging="360"/>
      </w:pPr>
      <w:r>
        <w:t>Dodavatel se zavazuje, že bude dílo provedeno v souladu s podmínkami výzvy „</w:t>
      </w:r>
      <w:proofErr w:type="spellStart"/>
      <w:r>
        <w:t>ModF</w:t>
      </w:r>
      <w:proofErr w:type="spellEnd"/>
      <w:r>
        <w:t xml:space="preserve"> – RES+ č. 1/2021 - ModF-RES-FV_1“, </w:t>
      </w:r>
      <w:r>
        <w:tab/>
        <w:t xml:space="preserve">část </w:t>
      </w:r>
      <w:r>
        <w:tab/>
        <w:t xml:space="preserve">12.2 </w:t>
      </w:r>
      <w:r>
        <w:tab/>
        <w:t xml:space="preserve">Specifická </w:t>
      </w:r>
      <w:r>
        <w:tab/>
        <w:t xml:space="preserve">kritéria </w:t>
      </w:r>
      <w:r>
        <w:tab/>
        <w:t xml:space="preserve">přijatelnosti, </w:t>
      </w:r>
      <w:r>
        <w:tab/>
        <w:t xml:space="preserve">dostupnými </w:t>
      </w:r>
      <w:r>
        <w:tab/>
        <w:t>na</w:t>
      </w:r>
      <w:r>
        <w:rPr>
          <w:b/>
        </w:rPr>
        <w:t xml:space="preserve"> </w:t>
      </w:r>
      <w:hyperlink r:id="rId7">
        <w:r>
          <w:rPr>
            <w:color w:val="0462C1"/>
            <w:u w:val="single" w:color="0462C1"/>
          </w:rPr>
          <w:t>https://www.sfzp.cz/dokumenty/detail/?id=2809</w:t>
        </w:r>
      </w:hyperlink>
      <w:hyperlink r:id="rId8">
        <w:r>
          <w:t>.</w:t>
        </w:r>
      </w:hyperlink>
      <w:r>
        <w:t xml:space="preserve"> </w:t>
      </w:r>
    </w:p>
    <w:p w:rsidR="00DB3D1D" w:rsidRDefault="00E52624">
      <w:pPr>
        <w:numPr>
          <w:ilvl w:val="0"/>
          <w:numId w:val="1"/>
        </w:numPr>
        <w:spacing w:after="603"/>
        <w:ind w:right="-10" w:hanging="360"/>
      </w:pPr>
      <w:r>
        <w:t xml:space="preserve">Další povinnosti dodavatele vyplývají také z „Podmínek pro poskytování podpory z programu RES+“ a dalších dokumentů dostupných na </w:t>
      </w:r>
      <w:hyperlink r:id="rId9">
        <w:r>
          <w:rPr>
            <w:color w:val="0462C1"/>
            <w:u w:val="single" w:color="0462C1"/>
          </w:rPr>
          <w:t>https://www.sfzp.cz/dotace</w:t>
        </w:r>
      </w:hyperlink>
      <w:hyperlink r:id="rId10">
        <w:r>
          <w:rPr>
            <w:color w:val="0462C1"/>
            <w:u w:val="single" w:color="0462C1"/>
          </w:rPr>
          <w:t>-</w:t>
        </w:r>
      </w:hyperlink>
      <w:hyperlink r:id="rId11">
        <w:r>
          <w:rPr>
            <w:color w:val="0462C1"/>
            <w:u w:val="single" w:color="0462C1"/>
          </w:rPr>
          <w:t>a</w:t>
        </w:r>
      </w:hyperlink>
      <w:hyperlink r:id="rId12">
        <w:r>
          <w:rPr>
            <w:color w:val="0462C1"/>
            <w:u w:val="single" w:color="0462C1"/>
          </w:rPr>
          <w:t>-</w:t>
        </w:r>
        <w:proofErr w:type="spellStart"/>
      </w:hyperlink>
      <w:hyperlink r:id="rId13">
        <w:r>
          <w:rPr>
            <w:color w:val="0462C1"/>
            <w:u w:val="single" w:color="0462C1"/>
          </w:rPr>
          <w:t>pujcky</w:t>
        </w:r>
        <w:proofErr w:type="spellEnd"/>
        <w:r>
          <w:rPr>
            <w:color w:val="0462C1"/>
            <w:u w:val="single" w:color="0462C1"/>
          </w:rPr>
          <w:t>/</w:t>
        </w:r>
        <w:proofErr w:type="spellStart"/>
        <w:r>
          <w:rPr>
            <w:color w:val="0462C1"/>
            <w:u w:val="single" w:color="0462C1"/>
          </w:rPr>
          <w:t>modernizacni</w:t>
        </w:r>
      </w:hyperlink>
      <w:hyperlink r:id="rId14"/>
      <w:hyperlink r:id="rId15">
        <w:r>
          <w:rPr>
            <w:color w:val="0462C1"/>
            <w:u w:val="single" w:color="0462C1"/>
          </w:rPr>
          <w:t>fond</w:t>
        </w:r>
        <w:proofErr w:type="spellEnd"/>
        <w:r>
          <w:rPr>
            <w:color w:val="0462C1"/>
            <w:u w:val="single" w:color="0462C1"/>
          </w:rPr>
          <w:t>/dokumenty/</w:t>
        </w:r>
      </w:hyperlink>
      <w:hyperlink r:id="rId16">
        <w:r>
          <w:t>.</w:t>
        </w:r>
      </w:hyperlink>
      <w:r>
        <w:t xml:space="preserve"> V případě rozporu v textu dokumentů s ustanoveními této smlouvy má přednost text smlouvy. </w:t>
      </w:r>
    </w:p>
    <w:p w:rsidR="00DB3D1D" w:rsidRDefault="00E52624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sz w:val="18"/>
        </w:rPr>
        <w:lastRenderedPageBreak/>
        <w:tab/>
        <w:t xml:space="preserve"> </w:t>
      </w:r>
      <w:r>
        <w:rPr>
          <w:rFonts w:ascii="Arial" w:eastAsia="Arial" w:hAnsi="Arial" w:cs="Arial"/>
          <w:sz w:val="24"/>
        </w:rPr>
        <w:t xml:space="preserve">Krajský úřad Pardubického kraje </w:t>
      </w:r>
    </w:p>
    <w:p w:rsidR="00DB3D1D" w:rsidRDefault="00E52624">
      <w:pPr>
        <w:spacing w:after="581" w:line="259" w:lineRule="auto"/>
        <w:ind w:left="-29" w:right="-26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6158230" cy="9144"/>
                <wp:effectExtent l="0" t="0" r="0" b="0"/>
                <wp:docPr id="1972" name="Group 19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9144"/>
                          <a:chOff x="0" y="0"/>
                          <a:chExt cx="6158230" cy="9144"/>
                        </a:xfrm>
                      </wpg:grpSpPr>
                      <wps:wsp>
                        <wps:cNvPr id="2383" name="Shape 2383"/>
                        <wps:cNvSpPr/>
                        <wps:spPr>
                          <a:xfrm>
                            <a:off x="0" y="0"/>
                            <a:ext cx="61582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9144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72" style="width:484.9pt;height:0.719971pt;mso-position-horizontal-relative:char;mso-position-vertical-relative:line" coordsize="61582,91">
                <v:shape id="Shape 2384" style="position:absolute;width:61582;height:91;left:0;top:0;" coordsize="6158230,9144" path="m0,0l6158230,0l615823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se zavazuje, že veškeré informační materiály (např. zápisy z jednání, prezenční listiny, pozvánky atd.) budou obsahovat název projektu, logo Modernizačního fondu a logo EU se sloganem a dalším povinným textem – dle předlohy </w:t>
      </w:r>
      <w:hyperlink r:id="rId17">
        <w:r>
          <w:rPr>
            <w:color w:val="0462C1"/>
            <w:u w:val="single" w:color="0462C1"/>
          </w:rPr>
          <w:t>https://www.sfzp.cz/dokumenty/detail/?id=2429</w:t>
        </w:r>
      </w:hyperlink>
      <w:hyperlink r:id="rId18">
        <w:r>
          <w:t xml:space="preserve"> </w:t>
        </w:r>
      </w:hyperlink>
      <w:r>
        <w:t xml:space="preserve">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se zavazuje v místě realizace na dobře viditelném místě pro veřejnost umístit povinnou publicitu - plakát o minimální velikosti A3, jehož grafická podoba mu bude poskytnuta objednatelem. </w:t>
      </w:r>
    </w:p>
    <w:p w:rsidR="00DB3D1D" w:rsidRDefault="00E52624">
      <w:pPr>
        <w:spacing w:after="91" w:line="259" w:lineRule="auto"/>
        <w:ind w:left="720" w:right="0" w:firstLine="0"/>
        <w:jc w:val="left"/>
      </w:pPr>
      <w:r>
        <w:t xml:space="preserve"> </w:t>
      </w:r>
      <w:bookmarkStart w:id="0" w:name="_GoBack"/>
      <w:bookmarkEnd w:id="0"/>
    </w:p>
    <w:sectPr w:rsidR="00DB3D1D" w:rsidSect="00DA1EA5">
      <w:footerReference w:type="default" r:id="rId19"/>
      <w:pgSz w:w="11906" w:h="16841"/>
      <w:pgMar w:top="573" w:right="1130" w:bottom="566" w:left="1133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EA5" w:rsidRDefault="00DA1EA5" w:rsidP="00DA1EA5">
      <w:pPr>
        <w:spacing w:after="0" w:line="240" w:lineRule="auto"/>
      </w:pPr>
      <w:r>
        <w:separator/>
      </w:r>
    </w:p>
  </w:endnote>
  <w:endnote w:type="continuationSeparator" w:id="0">
    <w:p w:rsidR="00DA1EA5" w:rsidRDefault="00DA1EA5" w:rsidP="00DA1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EA5" w:rsidRDefault="00DA1EA5" w:rsidP="00DA1EA5">
    <w:pPr>
      <w:spacing w:after="53" w:line="259" w:lineRule="auto"/>
      <w:ind w:left="-29" w:right="-26" w:firstLine="0"/>
      <w:jc w:val="left"/>
    </w:pPr>
    <w:r>
      <w:rPr>
        <w:noProof/>
      </w:rPr>
      <mc:AlternateContent>
        <mc:Choice Requires="wpg">
          <w:drawing>
            <wp:inline distT="0" distB="0" distL="0" distR="0" wp14:anchorId="24A9DA65" wp14:editId="232C1056">
              <wp:extent cx="6158230" cy="6097"/>
              <wp:effectExtent l="0" t="0" r="0" b="0"/>
              <wp:docPr id="1973" name="Group 19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6097"/>
                        <a:chOff x="0" y="0"/>
                        <a:chExt cx="6158230" cy="6097"/>
                      </a:xfrm>
                    </wpg:grpSpPr>
                    <wps:wsp>
                      <wps:cNvPr id="2385" name="Shape 2385"/>
                      <wps:cNvSpPr/>
                      <wps:spPr>
                        <a:xfrm>
                          <a:off x="0" y="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1F3BE5F2" id="Group 1973" o:spid="_x0000_s1026" style="width:484.9pt;height:.5pt;mso-position-horizontal-relative:char;mso-position-vertical-relative:line" coordsize="6158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">
              <v:shape id="Shape 2385" o:spid="_x0000_s1027" style="position:absolute;width:61582;height:91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" path="m,l6158230,r,9144l,9144,,e" fillcolor="black" stroked="f" strokeweight="0">
                <v:stroke miterlimit="83231f" joinstyle="miter"/>
                <v:path arrowok="t" textboxrect="0,0,6158230,9144"/>
              </v:shape>
              <w10:anchorlock/>
            </v:group>
          </w:pict>
        </mc:Fallback>
      </mc:AlternateContent>
    </w:r>
  </w:p>
  <w:p w:rsidR="00DA1EA5" w:rsidRDefault="00DA1EA5" w:rsidP="00DA1EA5">
    <w:pPr>
      <w:tabs>
        <w:tab w:val="center" w:pos="4112"/>
        <w:tab w:val="right" w:pos="9643"/>
      </w:tabs>
      <w:spacing w:after="0" w:line="259" w:lineRule="auto"/>
      <w:ind w:left="0" w:right="0" w:firstLine="0"/>
      <w:jc w:val="left"/>
    </w:pPr>
    <w:r>
      <w:rPr>
        <w:rFonts w:ascii="Arial" w:eastAsia="Arial" w:hAnsi="Arial" w:cs="Arial"/>
        <w:sz w:val="18"/>
      </w:rPr>
      <w:t>Smlouva č.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Arial" w:eastAsia="Arial" w:hAnsi="Arial" w:cs="Arial"/>
        <w:sz w:val="18"/>
      </w:rPr>
      <w:t>OR/2</w:t>
    </w:r>
    <w:r>
      <w:rPr>
        <w:rFonts w:ascii="Arial" w:eastAsia="Arial" w:hAnsi="Arial" w:cs="Arial"/>
        <w:sz w:val="18"/>
      </w:rPr>
      <w:t>4</w:t>
    </w:r>
    <w:r>
      <w:rPr>
        <w:rFonts w:ascii="Arial" w:eastAsia="Arial" w:hAnsi="Arial" w:cs="Arial"/>
        <w:sz w:val="18"/>
      </w:rPr>
      <w:t xml:space="preserve">/… </w:t>
    </w:r>
    <w:r>
      <w:rPr>
        <w:rFonts w:ascii="Arial" w:eastAsia="Arial" w:hAnsi="Arial" w:cs="Arial"/>
        <w:sz w:val="18"/>
      </w:rPr>
      <w:tab/>
      <w:t xml:space="preserve"> </w:t>
    </w:r>
    <w:r>
      <w:rPr>
        <w:rFonts w:ascii="Arial" w:eastAsia="Arial" w:hAnsi="Arial" w:cs="Arial"/>
        <w:sz w:val="18"/>
      </w:rPr>
      <w:tab/>
      <w:t xml:space="preserve">Strana </w:t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t xml:space="preserve"> (celkem </w:t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t>)</w:t>
    </w:r>
    <w:r>
      <w:rPr>
        <w:rFonts w:ascii="Arial" w:eastAsia="Arial" w:hAnsi="Arial" w:cs="Arial"/>
      </w:rPr>
      <w:t xml:space="preserve"> </w:t>
    </w:r>
  </w:p>
  <w:p w:rsidR="00DA1EA5" w:rsidRDefault="00DA1E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EA5" w:rsidRDefault="00DA1EA5" w:rsidP="00DA1EA5">
      <w:pPr>
        <w:spacing w:after="0" w:line="240" w:lineRule="auto"/>
      </w:pPr>
      <w:r>
        <w:separator/>
      </w:r>
    </w:p>
  </w:footnote>
  <w:footnote w:type="continuationSeparator" w:id="0">
    <w:p w:rsidR="00DA1EA5" w:rsidRDefault="00DA1EA5" w:rsidP="00DA1E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666D"/>
    <w:multiLevelType w:val="hybridMultilevel"/>
    <w:tmpl w:val="6EFEA616"/>
    <w:lvl w:ilvl="0" w:tplc="48EAAE92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B63A72">
      <w:start w:val="1"/>
      <w:numFmt w:val="lowerLetter"/>
      <w:lvlText w:val="%2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812A2">
      <w:start w:val="1"/>
      <w:numFmt w:val="lowerRoman"/>
      <w:lvlText w:val="%3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A25F86">
      <w:start w:val="1"/>
      <w:numFmt w:val="decimal"/>
      <w:lvlText w:val="%4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9CE7C0">
      <w:start w:val="1"/>
      <w:numFmt w:val="lowerLetter"/>
      <w:lvlText w:val="%5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44D04">
      <w:start w:val="1"/>
      <w:numFmt w:val="lowerRoman"/>
      <w:lvlText w:val="%6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042858">
      <w:start w:val="1"/>
      <w:numFmt w:val="decimal"/>
      <w:lvlText w:val="%7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6C4414">
      <w:start w:val="1"/>
      <w:numFmt w:val="lowerLetter"/>
      <w:lvlText w:val="%8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04F9EE">
      <w:start w:val="1"/>
      <w:numFmt w:val="lowerRoman"/>
      <w:lvlText w:val="%9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D1D"/>
    <w:rsid w:val="00BC3C3E"/>
    <w:rsid w:val="00DA1EA5"/>
    <w:rsid w:val="00DB3D1D"/>
    <w:rsid w:val="00E5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AA580"/>
  <w15:docId w15:val="{65333399-1735-4201-8077-DBB7D60F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17" w:line="241" w:lineRule="auto"/>
      <w:ind w:left="370" w:right="1" w:hanging="37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8"/>
    </w:rPr>
  </w:style>
  <w:style w:type="paragraph" w:styleId="Zhlav">
    <w:name w:val="header"/>
    <w:basedOn w:val="Normln"/>
    <w:link w:val="ZhlavChar"/>
    <w:uiPriority w:val="99"/>
    <w:unhideWhenUsed/>
    <w:rsid w:val="00DA1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1EA5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DA1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1EA5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fzp.cz/dokumenty/detail/?id=2809" TargetMode="External"/><Relationship Id="rId13" Type="http://schemas.openxmlformats.org/officeDocument/2006/relationships/hyperlink" Target="https://www.sfzp.cz/dotace-a-pujcky/modernizacni-fond/dokumenty/" TargetMode="External"/><Relationship Id="rId18" Type="http://schemas.openxmlformats.org/officeDocument/2006/relationships/hyperlink" Target="https://www.sfzp.cz/dokumenty/detail/?id=2429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sfzp.cz/dokumenty/detail/?id=2809" TargetMode="External"/><Relationship Id="rId12" Type="http://schemas.openxmlformats.org/officeDocument/2006/relationships/hyperlink" Target="https://www.sfzp.cz/dotace-a-pujcky/modernizacni-fond/dokumenty/" TargetMode="External"/><Relationship Id="rId17" Type="http://schemas.openxmlformats.org/officeDocument/2006/relationships/hyperlink" Target="https://www.sfzp.cz/dokumenty/detail/?id=242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fzp.cz/dotace-a-pujcky/modernizacni-fond/dokumenty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fzp.cz/dotace-a-pujcky/modernizacni-fond/dokumenty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fzp.cz/dotace-a-pujcky/modernizacni-fond/dokumenty/" TargetMode="External"/><Relationship Id="rId10" Type="http://schemas.openxmlformats.org/officeDocument/2006/relationships/hyperlink" Target="https://www.sfzp.cz/dotace-a-pujcky/modernizacni-fond/dokumenty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sfzp.cz/dotace-a-pujcky/modernizacni-fond/dokumenty/" TargetMode="External"/><Relationship Id="rId14" Type="http://schemas.openxmlformats.org/officeDocument/2006/relationships/hyperlink" Target="https://www.sfzp.cz/dotace-a-pujcky/modernizacni-fond/dokumenty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653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Kroulík Milan Ing.</dc:creator>
  <cp:keywords/>
  <cp:lastModifiedBy>Hřebík Roman Ing.</cp:lastModifiedBy>
  <cp:revision>4</cp:revision>
  <dcterms:created xsi:type="dcterms:W3CDTF">2024-02-01T08:41:00Z</dcterms:created>
  <dcterms:modified xsi:type="dcterms:W3CDTF">2024-07-04T07:32:00Z</dcterms:modified>
</cp:coreProperties>
</file>